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34" w:rsidRDefault="00D03F34" w:rsidP="00D03F34">
      <w:pPr>
        <w:spacing w:after="0"/>
        <w:ind w:firstLine="709"/>
        <w:jc w:val="both"/>
      </w:pPr>
      <w:r>
        <w:t>Государственная программа Хабаровского края "Оказание содействия добровольному переселению в Хабаровский край соотечественников, проживающих за рубежом" на период до 2020 года утверждена постановлением Правительства Хабаровского края от 25 октября 2013 года № 355-пр. С полным текстом программы, в частности с географическими, климатическими, социально-экономическими характеристиками региона, условиями приема соотечественников, можно ознакомиться на сайте комитета по труду и занятости населения Правительства края – уполномоченного органа по реализации программы (</w:t>
      </w:r>
      <w:proofErr w:type="spellStart"/>
      <w:r>
        <w:fldChar w:fldCharType="begin"/>
      </w:r>
      <w:r>
        <w:instrText xml:space="preserve"> HYPERLINK "http://www.uprzan.khv.ru" </w:instrText>
      </w:r>
      <w:r>
        <w:fldChar w:fldCharType="separate"/>
      </w:r>
      <w:r>
        <w:rPr>
          <w:rStyle w:val="a3"/>
        </w:rPr>
        <w:t>www.uprzan.khv.ru</w:t>
      </w:r>
      <w:proofErr w:type="spellEnd"/>
      <w:r>
        <w:fldChar w:fldCharType="end"/>
      </w:r>
      <w:r>
        <w:t>) в разделе "Деятельность" – "Программы, проекты" – "Государственная программа "Соотечественники".</w:t>
      </w:r>
      <w:r>
        <w:br/>
      </w:r>
      <w:r>
        <w:rPr>
          <w:rStyle w:val="a4"/>
        </w:rPr>
        <w:t>Правом на участие в программе обладают:</w:t>
      </w:r>
      <w:r>
        <w:br/>
      </w:r>
      <w:r>
        <w:rPr>
          <w:rStyle w:val="a4"/>
        </w:rPr>
        <w:t>- соотечественники, постоянно проживающие за рубежом;</w:t>
      </w:r>
      <w:r>
        <w:br/>
      </w:r>
      <w:r>
        <w:rPr>
          <w:rStyle w:val="a4"/>
        </w:rPr>
        <w:t>- иностранные граждане, постоянно или временно проживающие в России на законном основании (имеющие разрешение на временное проживание или оформившие вид на жительство) либо получившие временное убежище на территории Российской Федерации.</w:t>
      </w:r>
      <w:r>
        <w:br/>
      </w:r>
      <w:proofErr w:type="gramStart"/>
      <w:r>
        <w:t>Документом</w:t>
      </w:r>
      <w:proofErr w:type="gramEnd"/>
      <w:r>
        <w:t xml:space="preserve"> подтверждающим статус переселенца является свидетельство участника Государственной программы по оказания содействия добровольному переселению в Российскую Федерацию соотечественников, проживающих за рубежом.</w:t>
      </w:r>
    </w:p>
    <w:p w:rsidR="00D03F34" w:rsidRDefault="00D03F34" w:rsidP="00D03F34">
      <w:pPr>
        <w:spacing w:after="0"/>
        <w:ind w:firstLine="709"/>
        <w:jc w:val="both"/>
      </w:pPr>
      <w:proofErr w:type="gramStart"/>
      <w:r>
        <w:rPr>
          <w:rStyle w:val="a4"/>
        </w:rPr>
        <w:t>Участники Программы и члены их семей имеют право осуществлять трудовую деятельность без получения разрешения на работу либо патента</w:t>
      </w:r>
      <w:r>
        <w:t>, при этом работодатель также освобождается от обязательного в других случаях требования о наличии разрешения на привлечение и использование иностранных работников (пункт 2 части 4 статьи 13 Федерального закона "О правовом положении иностранных граждан в Российской Федерации" от 25 июля 2002 года № 115-ФЗ</w:t>
      </w:r>
      <w:proofErr w:type="gramEnd"/>
      <w:r>
        <w:t>).</w:t>
      </w:r>
      <w:r>
        <w:br/>
        <w:t xml:space="preserve">В соответствии с частью 3 статьи 224 Налогового кодекса Российской Федерации </w:t>
      </w:r>
      <w:r>
        <w:rPr>
          <w:rStyle w:val="a4"/>
        </w:rPr>
        <w:t>налоговая ставка в отношении доходов от осуществления трудовой деятельности участниками Программы и членами их семей устанавливается в размере 13 %</w:t>
      </w:r>
      <w:r>
        <w:t>.</w:t>
      </w:r>
    </w:p>
    <w:p w:rsidR="00D03F34" w:rsidRDefault="00D03F34" w:rsidP="00D03F34">
      <w:pPr>
        <w:spacing w:after="0"/>
        <w:ind w:firstLine="709"/>
        <w:jc w:val="both"/>
      </w:pPr>
      <w:r>
        <w:t xml:space="preserve">При приеме на работу участники </w:t>
      </w:r>
      <w:hyperlink r:id="rId4" w:history="1">
        <w:r>
          <w:rPr>
            <w:rStyle w:val="a3"/>
          </w:rPr>
          <w:t>Программы</w:t>
        </w:r>
      </w:hyperlink>
      <w:r>
        <w:t xml:space="preserve"> и члены их семей должны предоставить только </w:t>
      </w:r>
      <w:hyperlink r:id="rId5" w:history="1">
        <w:r>
          <w:rPr>
            <w:rStyle w:val="a3"/>
          </w:rPr>
          <w:t>свидетельств</w:t>
        </w:r>
      </w:hyperlink>
      <w:proofErr w:type="gramStart"/>
      <w:r>
        <w:t>о</w:t>
      </w:r>
      <w:proofErr w:type="gramEnd"/>
      <w:r>
        <w:t xml:space="preserve"> участника Программы и паспорт иностранного гражданина.</w:t>
      </w:r>
      <w:r>
        <w:br/>
      </w:r>
      <w:proofErr w:type="gramStart"/>
      <w:r>
        <w:t xml:space="preserve">Поскольку в течение 6-ти месяцев (период, установленный для присвоения соотечественникам гражданства Российской Федерации) участники государственной программы и члены их семей юридически являются иностранными гражданами, на них распространяется действия пункта 8 статьи 13 Федерального закона "О правовом положении иностранных граждан в Российской Федерации", согласно которому </w:t>
      </w:r>
      <w:r>
        <w:rPr>
          <w:rStyle w:val="a4"/>
        </w:rPr>
        <w:t>работодатели или заказчики работ (услуг), привлекающие и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использующие для осуществления трудовой деятельности иностранных граждан,</w:t>
      </w:r>
      <w:r>
        <w:t xml:space="preserve"> </w:t>
      </w:r>
      <w:r>
        <w:rPr>
          <w:rStyle w:val="a4"/>
        </w:rPr>
        <w:t>обязаны уведомлять Управление по вопросам миграции Управления МВД по Хабаровскому краю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</w:t>
      </w:r>
      <w:r>
        <w:t xml:space="preserve"> </w:t>
      </w:r>
      <w:r>
        <w:rPr>
          <w:rStyle w:val="a4"/>
        </w:rPr>
        <w:t>в срок, не превышающий трех рабочих дней с даты заключения или прекращения (расторжения) соответствующего договора.</w:t>
      </w:r>
      <w:proofErr w:type="gramEnd"/>
      <w:r>
        <w:rPr>
          <w:rStyle w:val="a4"/>
        </w:rPr>
        <w:t xml:space="preserve"> Указанные уведомления подаются в соответствии с формами, установленными приказом ФМС от 28 июня 2010 № 147 (приложения №№ 19, 20).</w:t>
      </w:r>
    </w:p>
    <w:p w:rsidR="00A72B0B" w:rsidRDefault="00D03F34" w:rsidP="00D03F34">
      <w:pPr>
        <w:spacing w:after="0"/>
        <w:ind w:firstLine="709"/>
        <w:jc w:val="both"/>
      </w:pPr>
      <w:proofErr w:type="gramStart"/>
      <w:r>
        <w:t xml:space="preserve">Обложение страховыми взносами выплат работодателя в Пенсионный фонд РФ, Фонд социального страхования РФ, Федеральный фонд обязательного медицинского страхования в пользу участников </w:t>
      </w:r>
      <w:hyperlink r:id="rId6" w:history="1">
        <w:r>
          <w:rPr>
            <w:rStyle w:val="a3"/>
          </w:rPr>
          <w:t>программы</w:t>
        </w:r>
      </w:hyperlink>
      <w:r>
        <w:t xml:space="preserve"> и членов их семей осуществляется в порядке, установленном для граждан Российской Федерации, в соответствии с </w:t>
      </w:r>
      <w:hyperlink r:id="rId7" w:history="1">
        <w:r>
          <w:rPr>
            <w:rStyle w:val="a3"/>
          </w:rPr>
          <w:t>частью 1 статьи 7</w:t>
        </w:r>
      </w:hyperlink>
      <w:r>
        <w:t xml:space="preserve"> Закона № 212-ФЗ, </w:t>
      </w:r>
      <w:hyperlink r:id="rId8" w:history="1">
        <w:r>
          <w:rPr>
            <w:rStyle w:val="a3"/>
          </w:rPr>
          <w:t>пунктом 1 статьи 7</w:t>
        </w:r>
      </w:hyperlink>
      <w:r>
        <w:t xml:space="preserve"> Закона № 167-ФЗ, </w:t>
      </w:r>
      <w:hyperlink r:id="rId9" w:history="1">
        <w:r>
          <w:rPr>
            <w:rStyle w:val="a3"/>
          </w:rPr>
          <w:t>статьи 10</w:t>
        </w:r>
      </w:hyperlink>
      <w:r>
        <w:t xml:space="preserve"> Закона № 326-ФЗ, </w:t>
      </w:r>
      <w:hyperlink r:id="rId10" w:history="1">
        <w:r>
          <w:rPr>
            <w:rStyle w:val="a3"/>
          </w:rPr>
          <w:t>статьи 5</w:t>
        </w:r>
      </w:hyperlink>
      <w:r>
        <w:t xml:space="preserve">, </w:t>
      </w:r>
      <w:hyperlink r:id="rId11" w:history="1">
        <w:r>
          <w:rPr>
            <w:rStyle w:val="a3"/>
          </w:rPr>
          <w:t>пункта 1 статьи 20.1</w:t>
        </w:r>
      </w:hyperlink>
      <w:r>
        <w:t xml:space="preserve"> Закона</w:t>
      </w:r>
      <w:proofErr w:type="gramEnd"/>
      <w:r>
        <w:t xml:space="preserve"> № 125-ФЗ, </w:t>
      </w:r>
      <w:hyperlink r:id="rId12" w:history="1">
        <w:r>
          <w:rPr>
            <w:rStyle w:val="a3"/>
          </w:rPr>
          <w:t>части 1 статьи 2</w:t>
        </w:r>
      </w:hyperlink>
      <w:r>
        <w:t xml:space="preserve"> Закона № 255-ФЗ.</w:t>
      </w:r>
    </w:p>
    <w:sectPr w:rsidR="00A72B0B" w:rsidSect="00A7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3F34"/>
    <w:rsid w:val="00020B5A"/>
    <w:rsid w:val="00025786"/>
    <w:rsid w:val="000F35C7"/>
    <w:rsid w:val="001B0B55"/>
    <w:rsid w:val="00281913"/>
    <w:rsid w:val="003F2F04"/>
    <w:rsid w:val="00405603"/>
    <w:rsid w:val="00440355"/>
    <w:rsid w:val="00476A76"/>
    <w:rsid w:val="00481A1F"/>
    <w:rsid w:val="004B06BA"/>
    <w:rsid w:val="004E7456"/>
    <w:rsid w:val="00510B1B"/>
    <w:rsid w:val="00522A31"/>
    <w:rsid w:val="00537A84"/>
    <w:rsid w:val="005A2CA6"/>
    <w:rsid w:val="005C3DA4"/>
    <w:rsid w:val="006865D3"/>
    <w:rsid w:val="006A5FA5"/>
    <w:rsid w:val="00714D63"/>
    <w:rsid w:val="00772842"/>
    <w:rsid w:val="0083036A"/>
    <w:rsid w:val="00924DE9"/>
    <w:rsid w:val="00933598"/>
    <w:rsid w:val="00941609"/>
    <w:rsid w:val="00986CEF"/>
    <w:rsid w:val="00987345"/>
    <w:rsid w:val="009E44B6"/>
    <w:rsid w:val="00A72B0B"/>
    <w:rsid w:val="00AD5EDA"/>
    <w:rsid w:val="00B267DB"/>
    <w:rsid w:val="00B458FE"/>
    <w:rsid w:val="00B45DF3"/>
    <w:rsid w:val="00B60D81"/>
    <w:rsid w:val="00C37EED"/>
    <w:rsid w:val="00C709D7"/>
    <w:rsid w:val="00CF0496"/>
    <w:rsid w:val="00D03F34"/>
    <w:rsid w:val="00D6263E"/>
    <w:rsid w:val="00D8399D"/>
    <w:rsid w:val="00DC0491"/>
    <w:rsid w:val="00E77812"/>
    <w:rsid w:val="00EF2A12"/>
    <w:rsid w:val="00FA79A6"/>
    <w:rsid w:val="00FC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F34"/>
    <w:rPr>
      <w:color w:val="0000FF"/>
      <w:u w:val="single"/>
    </w:rPr>
  </w:style>
  <w:style w:type="character" w:styleId="a4">
    <w:name w:val="Strong"/>
    <w:basedOn w:val="a0"/>
    <w:uiPriority w:val="22"/>
    <w:qFormat/>
    <w:rsid w:val="00D03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0A91AF794944820622D178C2CC9CE0F5683D8E34AC816AB5D743E7Y5u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DC9749489D15AB4420A91AF794944820622D17BC7CC9CE0F5683D8E34AC816AB5D747ECY5u3H" TargetMode="External"/><Relationship Id="rId12" Type="http://schemas.openxmlformats.org/officeDocument/2006/relationships/hyperlink" Target="consultantplus://offline/ref=6B1DC9749489D15AB4420A91AF794944820721DB75C7CC9CE0F5683D8E34AC816AB5D747E6Y5u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4B8D2E0DB22DF9BD7358E3FD9C83895189FBBF1003FDC919C1B1E88D4E746FB9FE3tCxDG" TargetMode="External"/><Relationship Id="rId11" Type="http://schemas.openxmlformats.org/officeDocument/2006/relationships/hyperlink" Target="consultantplus://offline/ref=6B1DC9749489D15AB4420A91AF794944820621DF7FC2CC9CE0F5683D8E34AC816AB5D74CYEu9H" TargetMode="External"/><Relationship Id="rId5" Type="http://schemas.openxmlformats.org/officeDocument/2006/relationships/hyperlink" Target="consultantplus://offline/ref=2EFB948328EA82DF213D27F00471B8BAD0ACDC24957ABFDCCB61A1C906F5E5604D838E91821AC6B0M5E4G" TargetMode="External"/><Relationship Id="rId10" Type="http://schemas.openxmlformats.org/officeDocument/2006/relationships/hyperlink" Target="consultantplus://offline/ref=6B1DC9749489D15AB4420A91AF794944820621DF7FC2CC9CE0F5683D8E34AC816AB5D744EE52B1F0Y4u3H" TargetMode="External"/><Relationship Id="rId4" Type="http://schemas.openxmlformats.org/officeDocument/2006/relationships/hyperlink" Target="consultantplus://offline/ref=2EFB948328EA82DF213D27F00471B8BAD0ACDD279E7EBFDCCB61A1C906F5E5604D838EM9E2G" TargetMode="External"/><Relationship Id="rId9" Type="http://schemas.openxmlformats.org/officeDocument/2006/relationships/hyperlink" Target="consultantplus://offline/ref=6B1DC9749489D15AB4420A91AF794944820720DD74C2CC9CE0F5683D8E34AC816AB5D744EE52B0F5Y4u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specprg11</dc:creator>
  <cp:keywords/>
  <dc:description/>
  <cp:lastModifiedBy>specprg11</cp:lastModifiedBy>
  <cp:revision>3</cp:revision>
  <dcterms:created xsi:type="dcterms:W3CDTF">2017-04-18T01:28:00Z</dcterms:created>
  <dcterms:modified xsi:type="dcterms:W3CDTF">2017-04-18T01:28:00Z</dcterms:modified>
</cp:coreProperties>
</file>